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A9" w:rsidRPr="003A4100" w:rsidRDefault="006B2487">
      <w:pPr>
        <w:spacing w:line="660" w:lineRule="exact"/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6B2487">
        <w:rPr>
          <w:rFonts w:cstheme="minorHAnsi"/>
          <w:b/>
          <w:bCs/>
          <w:noProof/>
          <w:sz w:val="40"/>
          <w:szCs w:val="40"/>
          <w:lang w:val="ru-RU" w:eastAsia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-752475</wp:posOffset>
            </wp:positionV>
            <wp:extent cx="2305050" cy="921097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041" cy="93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487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Pr="006B2487">
        <w:rPr>
          <w:rFonts w:cstheme="minorHAnsi"/>
          <w:b/>
          <w:bCs/>
          <w:noProof/>
          <w:sz w:val="40"/>
          <w:szCs w:val="40"/>
          <w:lang w:val="ru-RU" w:eastAsia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FB059" wp14:editId="35D2DF05">
                <wp:simplePos x="0" y="0"/>
                <wp:positionH relativeFrom="column">
                  <wp:posOffset>1143000</wp:posOffset>
                </wp:positionH>
                <wp:positionV relativeFrom="paragraph">
                  <wp:posOffset>-752475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2487" w:rsidRDefault="006B2487" w:rsidP="006B248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2487" w:rsidRDefault="006B2487" w:rsidP="006B248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FB059" id="组合 4" o:spid="_x0000_s1026" style="position:absolute;left:0;text-align:left;margin-left:90pt;margin-top:-59.2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pWGI+O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B2487" w:rsidRDefault="006B2487" w:rsidP="006B248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6B2487" w:rsidRDefault="006B2487" w:rsidP="006B248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45A9" w:rsidRPr="006B2487" w:rsidRDefault="0060521B" w:rsidP="006B2487">
      <w:pPr>
        <w:ind w:left="2808" w:hangingChars="650" w:hanging="2808"/>
        <w:jc w:val="left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6B2487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1530</w:t>
      </w:r>
      <w:r w:rsid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Electroplate</w:t>
      </w:r>
      <w:r w:rsidRPr="006B2487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Binder</w:t>
      </w:r>
      <w:r w:rsid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6B2487" w:rsidRP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(</w:t>
      </w:r>
      <w:r w:rsid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СВЯЗУЮЩЕЕ ДЛЯ </w:t>
      </w:r>
      <w:r w:rsidR="006B2487" w:rsidRPr="006B248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ГАЛЬВАНИЧЕСКИХ ПОКРЫТИЙ)</w:t>
      </w:r>
    </w:p>
    <w:p w:rsidR="000B45A9" w:rsidRPr="006B2487" w:rsidRDefault="006B2487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ОПИСАНИЕ:</w:t>
      </w:r>
    </w:p>
    <w:p w:rsidR="006B2487" w:rsidRDefault="0060521B" w:rsidP="006B2487">
      <w:pPr>
        <w:spacing w:line="240" w:lineRule="exact"/>
        <w:ind w:leftChars="50" w:left="120"/>
        <w:rPr>
          <w:rStyle w:val="anegp0gi0b9av8jahpyh"/>
          <w:lang w:val="ru-RU"/>
        </w:rPr>
      </w:pPr>
      <w:r w:rsidRPr="006B2487">
        <w:rPr>
          <w:rFonts w:cstheme="minorHAnsi"/>
          <w:sz w:val="20"/>
          <w:szCs w:val="20"/>
          <w:lang w:val="ru-RU"/>
        </w:rPr>
        <w:t xml:space="preserve">- </w:t>
      </w:r>
      <w:r w:rsidR="006B2487" w:rsidRPr="006B2487">
        <w:rPr>
          <w:rStyle w:val="anegp0gi0b9av8jahpyh"/>
          <w:lang w:val="ru-RU"/>
        </w:rPr>
        <w:t>Он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используется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для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регулировки</w:t>
      </w:r>
      <w:r w:rsidR="006B2487" w:rsidRPr="006B2487">
        <w:rPr>
          <w:lang w:val="ru-RU"/>
        </w:rPr>
        <w:t xml:space="preserve"> равномерности нанесения </w:t>
      </w:r>
      <w:r w:rsidR="006B2487" w:rsidRPr="006B2487">
        <w:rPr>
          <w:rStyle w:val="anegp0gi0b9av8jahpyh"/>
          <w:lang w:val="ru-RU"/>
        </w:rPr>
        <w:t>серебряного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порошка,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и</w:t>
      </w:r>
      <w:r w:rsidR="006B2487" w:rsidRPr="006B2487">
        <w:rPr>
          <w:lang w:val="ru-RU"/>
        </w:rPr>
        <w:t xml:space="preserve"> благодаря </w:t>
      </w:r>
      <w:r w:rsidR="006B2487" w:rsidRPr="006B2487">
        <w:rPr>
          <w:rStyle w:val="anegp0gi0b9av8jahpyh"/>
          <w:lang w:val="ru-RU"/>
        </w:rPr>
        <w:t>ему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раствор</w:t>
      </w:r>
      <w:r w:rsidR="006B2487" w:rsidRPr="006B2487">
        <w:rPr>
          <w:lang w:val="ru-RU"/>
        </w:rPr>
        <w:t xml:space="preserve"> будет </w:t>
      </w:r>
      <w:r w:rsidR="006B2487" w:rsidRPr="006B2487">
        <w:rPr>
          <w:rStyle w:val="anegp0gi0b9av8jahpyh"/>
          <w:lang w:val="ru-RU"/>
        </w:rPr>
        <w:t>казаться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белым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спереди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и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глубоким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сбоку,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создавая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визуальный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металлический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эффект</w:t>
      </w:r>
      <w:r w:rsidR="006B2487" w:rsidRPr="006B2487">
        <w:rPr>
          <w:lang w:val="ru-RU"/>
        </w:rPr>
        <w:t xml:space="preserve"> </w:t>
      </w:r>
      <w:r w:rsidR="006B2487" w:rsidRPr="006B2487">
        <w:rPr>
          <w:rStyle w:val="anegp0gi0b9av8jahpyh"/>
          <w:lang w:val="ru-RU"/>
        </w:rPr>
        <w:t>внешнего</w:t>
      </w:r>
      <w:r w:rsidR="006B2487" w:rsidRPr="006B2487">
        <w:rPr>
          <w:lang w:val="ru-RU"/>
        </w:rPr>
        <w:t xml:space="preserve"> вида</w:t>
      </w:r>
      <w:r w:rsidR="006B2487" w:rsidRPr="006B2487">
        <w:rPr>
          <w:rStyle w:val="anegp0gi0b9av8jahpyh"/>
          <w:lang w:val="ru-RU"/>
        </w:rPr>
        <w:t>.</w:t>
      </w:r>
      <w:r w:rsidR="006B2487">
        <w:rPr>
          <w:rStyle w:val="anegp0gi0b9av8jahpyh"/>
          <w:lang w:val="ru-RU"/>
        </w:rPr>
        <w:br/>
      </w:r>
    </w:p>
    <w:p w:rsidR="000B45A9" w:rsidRPr="006B2487" w:rsidRDefault="006B2487" w:rsidP="006B2487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МЕТОД НАНЕСЕНИЯ: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0B45A9" w:rsidRPr="003A4100">
        <w:trPr>
          <w:trHeight w:val="1317"/>
        </w:trPr>
        <w:tc>
          <w:tcPr>
            <w:tcW w:w="1696" w:type="dxa"/>
            <w:vAlign w:val="center"/>
          </w:tcPr>
          <w:p w:rsidR="000B45A9" w:rsidRDefault="0060521B">
            <w:pPr>
              <w:spacing w:line="90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53" w:dyaOrig="6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pt" o:ole="">
                  <v:imagedata r:id="rId5" o:title=""/>
                </v:shape>
                <o:OLEObject Type="Embed" ProgID="CorelDraw.Graphic.19" ShapeID="_x0000_i1025" DrawAspect="Content" ObjectID="_1815828085" r:id="rId6"/>
              </w:object>
            </w:r>
          </w:p>
        </w:tc>
        <w:tc>
          <w:tcPr>
            <w:tcW w:w="8222" w:type="dxa"/>
            <w:vAlign w:val="center"/>
          </w:tcPr>
          <w:p w:rsidR="000B45A9" w:rsidRPr="006B2487" w:rsidRDefault="0060521B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6B2487">
              <w:rPr>
                <w:rFonts w:cstheme="minorHAnsi" w:hint="eastAsia"/>
                <w:sz w:val="20"/>
                <w:szCs w:val="20"/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Используется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только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в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рекомендованных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составах,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дозировка</w:t>
            </w:r>
            <w:r w:rsidR="006B2487" w:rsidRPr="006B2487">
              <w:rPr>
                <w:lang w:val="ru-RU"/>
              </w:rPr>
              <w:t xml:space="preserve"> не </w:t>
            </w:r>
            <w:r w:rsidR="006B2487" w:rsidRPr="006B2487">
              <w:rPr>
                <w:rStyle w:val="anegp0gi0b9av8jahpyh"/>
                <w:lang w:val="ru-RU"/>
              </w:rPr>
              <w:t>должна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превышать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50%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от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общего</w:t>
            </w:r>
            <w:r w:rsidR="006B2487" w:rsidRPr="006B2487">
              <w:rPr>
                <w:lang w:val="ru-RU"/>
              </w:rPr>
              <w:t xml:space="preserve"> количества, так как </w:t>
            </w:r>
            <w:r w:rsidR="006B2487" w:rsidRPr="006B2487">
              <w:rPr>
                <w:rStyle w:val="anegp0gi0b9av8jahpyh"/>
                <w:lang w:val="ru-RU"/>
              </w:rPr>
              <w:t>избыточное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добавление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может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повлиять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на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адгезию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между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базовым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и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прозрачным</w:t>
            </w:r>
            <w:r w:rsidR="006B2487" w:rsidRPr="006B2487">
              <w:rPr>
                <w:lang w:val="ru-RU"/>
              </w:rPr>
              <w:t xml:space="preserve"> </w:t>
            </w:r>
            <w:r w:rsidR="006B2487" w:rsidRPr="006B2487">
              <w:rPr>
                <w:rStyle w:val="anegp0gi0b9av8jahpyh"/>
                <w:lang w:val="ru-RU"/>
              </w:rPr>
              <w:t>покрытием</w:t>
            </w:r>
            <w:r w:rsidR="006B2487">
              <w:rPr>
                <w:rStyle w:val="anegp0gi0b9av8jahpyh"/>
                <w:lang w:val="ru-RU"/>
              </w:rPr>
              <w:t xml:space="preserve"> (Лаком)</w:t>
            </w:r>
            <w:r w:rsidR="006B2487" w:rsidRPr="006B2487">
              <w:rPr>
                <w:rStyle w:val="anegp0gi0b9av8jahpyh"/>
                <w:lang w:val="ru-RU"/>
              </w:rPr>
              <w:t>.</w:t>
            </w:r>
          </w:p>
        </w:tc>
      </w:tr>
    </w:tbl>
    <w:p w:rsidR="000B45A9" w:rsidRDefault="0060521B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A9" w:rsidRPr="006B2487" w:rsidRDefault="003A4100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МЕСТО ХРАНЕНИЯ</w:t>
      </w:r>
      <w:bookmarkStart w:id="1" w:name="_GoBack"/>
      <w:bookmarkEnd w:id="1"/>
      <w:r w:rsidR="006B2487">
        <w:rPr>
          <w:rFonts w:cstheme="minorHAnsi"/>
          <w:sz w:val="22"/>
          <w:lang w:val="ru-RU"/>
        </w:rPr>
        <w:t>:</w:t>
      </w:r>
    </w:p>
    <w:p w:rsidR="000B45A9" w:rsidRPr="006B2487" w:rsidRDefault="006B2487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6B2487">
        <w:rPr>
          <w:rStyle w:val="anegp0gi0b9av8jahpyh"/>
          <w:lang w:val="ru-RU"/>
        </w:rPr>
        <w:t>Храните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продукт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в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проветриваемом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месте</w:t>
      </w:r>
      <w:r w:rsidRPr="006B2487">
        <w:rPr>
          <w:lang w:val="ru-RU"/>
        </w:rPr>
        <w:t xml:space="preserve">, </w:t>
      </w:r>
      <w:r w:rsidRPr="006B2487">
        <w:rPr>
          <w:rStyle w:val="anegp0gi0b9av8jahpyh"/>
          <w:lang w:val="ru-RU"/>
        </w:rPr>
        <w:t>вдали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от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прямых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солнечных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лучей.</w:t>
      </w:r>
      <w:r w:rsidRPr="006B2487">
        <w:rPr>
          <w:lang w:val="ru-RU"/>
        </w:rPr>
        <w:t xml:space="preserve"> Температура </w:t>
      </w:r>
      <w:r w:rsidRPr="006B2487">
        <w:rPr>
          <w:rStyle w:val="anegp0gi0b9av8jahpyh"/>
          <w:lang w:val="ru-RU"/>
        </w:rPr>
        <w:t>хранения</w:t>
      </w:r>
      <w:r w:rsidRPr="006B2487">
        <w:rPr>
          <w:lang w:val="ru-RU"/>
        </w:rPr>
        <w:t xml:space="preserve"> должна быть </w:t>
      </w:r>
      <w:r w:rsidRPr="006B2487">
        <w:rPr>
          <w:rStyle w:val="anegp0gi0b9av8jahpyh"/>
          <w:lang w:val="ru-RU"/>
        </w:rPr>
        <w:t>от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до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6B2487">
        <w:rPr>
          <w:rStyle w:val="anegp0gi0b9av8jahpyh"/>
          <w:lang w:val="ru-RU"/>
        </w:rPr>
        <w:t>.</w:t>
      </w:r>
      <w:r w:rsidRPr="006B2487">
        <w:rPr>
          <w:lang w:val="ru-RU"/>
        </w:rPr>
        <w:t xml:space="preserve"> Хранить </w:t>
      </w:r>
      <w:r w:rsidRPr="006B2487">
        <w:rPr>
          <w:rStyle w:val="anegp0gi0b9av8jahpyh"/>
          <w:lang w:val="ru-RU"/>
        </w:rPr>
        <w:t>в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закрытой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оригинальной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упаковке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2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года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с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даты</w:t>
      </w:r>
      <w:r w:rsidRPr="006B2487">
        <w:rPr>
          <w:lang w:val="ru-RU"/>
        </w:rPr>
        <w:t xml:space="preserve"> </w:t>
      </w:r>
      <w:r w:rsidRPr="006B2487">
        <w:rPr>
          <w:rStyle w:val="anegp0gi0b9av8jahpyh"/>
          <w:lang w:val="ru-RU"/>
        </w:rPr>
        <w:t>изготовления.</w:t>
      </w:r>
      <w:r>
        <w:rPr>
          <w:rStyle w:val="anegp0gi0b9av8jahpyh"/>
          <w:lang w:val="ru-RU"/>
        </w:rPr>
        <w:br/>
      </w:r>
    </w:p>
    <w:p w:rsidR="000B45A9" w:rsidRDefault="006B2487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  <w:r>
        <w:rPr>
          <w:rFonts w:cstheme="minorHAnsi" w:hint="eastAsia"/>
          <w:sz w:val="22"/>
        </w:rPr>
        <w:t>:</w:t>
      </w:r>
    </w:p>
    <w:p w:rsidR="000B45A9" w:rsidRDefault="006B2487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1Л</w:t>
      </w:r>
      <w:r w:rsidR="0060521B">
        <w:rPr>
          <w:rFonts w:cstheme="minorHAnsi" w:hint="eastAsia"/>
          <w:sz w:val="20"/>
          <w:szCs w:val="20"/>
        </w:rPr>
        <w:t>/</w:t>
      </w:r>
      <w:r>
        <w:rPr>
          <w:rFonts w:cstheme="minorHAnsi" w:hint="eastAsia"/>
          <w:sz w:val="20"/>
          <w:szCs w:val="20"/>
        </w:rPr>
        <w:t>банка</w:t>
      </w:r>
    </w:p>
    <w:bookmarkEnd w:id="0"/>
    <w:p w:rsidR="000B45A9" w:rsidRDefault="000B45A9">
      <w:pPr>
        <w:spacing w:line="240" w:lineRule="exact"/>
        <w:rPr>
          <w:rFonts w:cstheme="minorHAnsi"/>
          <w:sz w:val="20"/>
          <w:szCs w:val="20"/>
        </w:rPr>
      </w:pPr>
    </w:p>
    <w:sectPr w:rsidR="000B45A9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d78acd2f-ab31-47f8-8feb-783cbd4a26c6"/>
  </w:docVars>
  <w:rsids>
    <w:rsidRoot w:val="002C4B78"/>
    <w:rsid w:val="000204F4"/>
    <w:rsid w:val="00067D5A"/>
    <w:rsid w:val="000B45A9"/>
    <w:rsid w:val="000D7BFA"/>
    <w:rsid w:val="000E6EAD"/>
    <w:rsid w:val="000F78C1"/>
    <w:rsid w:val="001146BD"/>
    <w:rsid w:val="001300EE"/>
    <w:rsid w:val="00152ED9"/>
    <w:rsid w:val="00173CE4"/>
    <w:rsid w:val="0017768F"/>
    <w:rsid w:val="001B4FEF"/>
    <w:rsid w:val="001C4BE2"/>
    <w:rsid w:val="001C5D49"/>
    <w:rsid w:val="001D0DAE"/>
    <w:rsid w:val="001D396E"/>
    <w:rsid w:val="001E20AE"/>
    <w:rsid w:val="00224BD6"/>
    <w:rsid w:val="00260E08"/>
    <w:rsid w:val="002C4B78"/>
    <w:rsid w:val="002D0615"/>
    <w:rsid w:val="002F1864"/>
    <w:rsid w:val="00330804"/>
    <w:rsid w:val="0036247D"/>
    <w:rsid w:val="00373CA6"/>
    <w:rsid w:val="003850AE"/>
    <w:rsid w:val="003974F8"/>
    <w:rsid w:val="003A4100"/>
    <w:rsid w:val="003C649E"/>
    <w:rsid w:val="003D0FFE"/>
    <w:rsid w:val="0041120D"/>
    <w:rsid w:val="004B772A"/>
    <w:rsid w:val="004E0F83"/>
    <w:rsid w:val="004E4E76"/>
    <w:rsid w:val="005314CB"/>
    <w:rsid w:val="005511F5"/>
    <w:rsid w:val="00563FCE"/>
    <w:rsid w:val="0060521B"/>
    <w:rsid w:val="0060764E"/>
    <w:rsid w:val="00612058"/>
    <w:rsid w:val="006217B6"/>
    <w:rsid w:val="00635E2F"/>
    <w:rsid w:val="00663A63"/>
    <w:rsid w:val="0067527D"/>
    <w:rsid w:val="006B2487"/>
    <w:rsid w:val="006F6CBD"/>
    <w:rsid w:val="00725B5F"/>
    <w:rsid w:val="00760020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C1471D"/>
    <w:rsid w:val="00C43493"/>
    <w:rsid w:val="00C74E98"/>
    <w:rsid w:val="00C81E6F"/>
    <w:rsid w:val="00C8634F"/>
    <w:rsid w:val="00CE7984"/>
    <w:rsid w:val="00D11D43"/>
    <w:rsid w:val="00D318D1"/>
    <w:rsid w:val="00D706C5"/>
    <w:rsid w:val="00D7623E"/>
    <w:rsid w:val="00DA6E83"/>
    <w:rsid w:val="00DC228B"/>
    <w:rsid w:val="00DD05B9"/>
    <w:rsid w:val="00E350E0"/>
    <w:rsid w:val="00E60F56"/>
    <w:rsid w:val="00EE53AD"/>
    <w:rsid w:val="00F148C8"/>
    <w:rsid w:val="00F17D2F"/>
    <w:rsid w:val="00F259E8"/>
    <w:rsid w:val="00F8365A"/>
    <w:rsid w:val="00FE7625"/>
    <w:rsid w:val="00FF1896"/>
    <w:rsid w:val="39FE394D"/>
    <w:rsid w:val="53245873"/>
    <w:rsid w:val="6CE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902BA-E55C-4BDF-8E72-D8733FA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character" w:customStyle="1" w:styleId="anegp0gi0b9av8jahpyh">
    <w:name w:val="anegp0gi0b9av8jahpyh"/>
    <w:basedOn w:val="a0"/>
    <w:rsid w:val="006B2487"/>
  </w:style>
  <w:style w:type="paragraph" w:styleId="a9">
    <w:name w:val="Normal (Web)"/>
    <w:basedOn w:val="a"/>
    <w:uiPriority w:val="99"/>
    <w:semiHidden/>
    <w:unhideWhenUsed/>
    <w:rsid w:val="006B2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49</cp:revision>
  <cp:lastPrinted>2022-03-23T03:33:00Z</cp:lastPrinted>
  <dcterms:created xsi:type="dcterms:W3CDTF">2021-08-17T06:22:00Z</dcterms:created>
  <dcterms:modified xsi:type="dcterms:W3CDTF">2025-08-04T12:55:00Z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23062568CDFD4DD5847E357366C7B4D9</vt:lpwstr>
  </property>
</Properties>
</file>